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8643E" w:rsidRDefault="0099683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Український інститут національної пам’яті</w:t>
      </w:r>
    </w:p>
    <w:p w14:paraId="00000002" w14:textId="77777777" w:rsidR="00A8643E" w:rsidRDefault="00A8643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14"/>
          <w:szCs w:val="14"/>
          <w:highlight w:val="white"/>
        </w:rPr>
      </w:pPr>
    </w:p>
    <w:p w14:paraId="00000003" w14:textId="77777777" w:rsidR="00A8643E" w:rsidRDefault="0099683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Інформаційні матеріали </w:t>
      </w:r>
    </w:p>
    <w:p w14:paraId="00000004" w14:textId="0B49BF76" w:rsidR="00A8643E" w:rsidRDefault="0099683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до Дня Соборності України–2024</w:t>
      </w:r>
    </w:p>
    <w:p w14:paraId="00000005" w14:textId="77777777" w:rsidR="00A8643E" w:rsidRDefault="00A8643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06" w14:textId="77777777" w:rsidR="00A8643E" w:rsidRDefault="00996839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Вступ</w:t>
      </w:r>
    </w:p>
    <w:p w14:paraId="00000007" w14:textId="4154DCF5" w:rsidR="00A8643E" w:rsidRPr="00996839" w:rsidRDefault="009968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Гасло до відзначення Дня Соборності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-UA"/>
        </w:rPr>
        <w:t xml:space="preserve"> – 2024</w:t>
      </w:r>
    </w:p>
    <w:p w14:paraId="00000008" w14:textId="77777777" w:rsidR="00A8643E" w:rsidRDefault="00996839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Ключові повідомлення</w:t>
      </w:r>
    </w:p>
    <w:p w14:paraId="00000009" w14:textId="77777777" w:rsidR="00A8643E" w:rsidRDefault="00996839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Історична довідка</w:t>
      </w:r>
    </w:p>
    <w:p w14:paraId="0000000A" w14:textId="77777777" w:rsidR="00A8643E" w:rsidRDefault="00996839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Цитати про Соборність</w:t>
      </w:r>
    </w:p>
    <w:p w14:paraId="0000000B" w14:textId="77777777" w:rsidR="00A8643E" w:rsidRDefault="009968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Тематичні матеріали Українського інституту національної пам'яті</w:t>
      </w:r>
    </w:p>
    <w:p w14:paraId="0000000C" w14:textId="77777777" w:rsidR="00A8643E" w:rsidRDefault="00A8643E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D" w14:textId="77777777" w:rsidR="00A8643E" w:rsidRDefault="00996839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Вступ</w:t>
      </w:r>
    </w:p>
    <w:p w14:paraId="0000000E" w14:textId="77777777" w:rsidR="00A8643E" w:rsidRDefault="00996839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Щороку 22 січня у день проголошення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Злуки Української Народної Республіки (УНР) та Західноукраїнської Народної Республіки (ЗУНР) Україна відзначає День Соборності. Офіційно це свято встановлено Указом Президента України “Про День соборності України” від 21 січня 1999 року № 42.</w:t>
      </w:r>
    </w:p>
    <w:p w14:paraId="0000000F" w14:textId="77777777" w:rsidR="00A8643E" w:rsidRDefault="00996839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Акт Злуки, проголошений 105 років тому – 22 січня 1919 року на Софійському майдані в Києві, став епохальною історичною подією, коли українські землі об’єдналися в одній державі. Це стало основоположною віхою українського державотворення, увінчало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соборницькі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прагнення українців обох частин України – Наддніпрянщини та Наддністрянщини – щонайменше з середини XIX століття.</w:t>
      </w:r>
    </w:p>
    <w:p w14:paraId="00000010" w14:textId="77777777" w:rsidR="00A8643E" w:rsidRDefault="00996839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Соборність означає, по-перше, об’єднання в одне державне ціле всіх земель, які заселяє конкретна нація на суцільній території. По-друге, – духовну консолідацію всіх громадян держави, їх згуртованість, незалежно від національності. Нарешті, соборність невіддільна від суверенітету й реальної незалежності народу –  фундаменту побудови демократичної держави, є запорукою виживання й існування нації.</w:t>
      </w:r>
    </w:p>
    <w:p w14:paraId="00000011" w14:textId="77777777" w:rsidR="00A8643E" w:rsidRDefault="00996839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Ідея соборності була і залишається базовою національною цінністю українців. </w:t>
      </w:r>
    </w:p>
    <w:p w14:paraId="00000012" w14:textId="77777777" w:rsidR="00A8643E" w:rsidRDefault="00A8643E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13" w14:textId="5BE2FDC7" w:rsidR="00A8643E" w:rsidRPr="00996839" w:rsidRDefault="00996839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Гасло до відзначення Дня Соборності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– 2024</w:t>
      </w:r>
    </w:p>
    <w:p w14:paraId="00000014" w14:textId="77777777" w:rsidR="00A8643E" w:rsidRDefault="00A8643E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15" w14:textId="21493FAD" w:rsidR="00A8643E" w:rsidRDefault="00996839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Наша єдність – наша зброя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00000016" w14:textId="77777777" w:rsidR="00A8643E" w:rsidRDefault="00A8643E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121C8A85" w:rsidR="00A8643E" w:rsidRDefault="00A8643E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FACC68" w14:textId="77777777" w:rsidR="00996839" w:rsidRDefault="00996839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8" w14:textId="77777777" w:rsidR="00A8643E" w:rsidRDefault="00A8643E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9" w14:textId="77777777" w:rsidR="00A8643E" w:rsidRDefault="00996839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Ключові повідомлення</w:t>
      </w:r>
    </w:p>
    <w:p w14:paraId="0000001A" w14:textId="77777777" w:rsidR="00A8643E" w:rsidRDefault="00996839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 січня ми згадуємо дві рівнозначні за вагою події української історії: проголошення незалежності Української Народної Республіки, яке сталося у 1918 році, та проголошення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Злуки українських земель, що відбулося 1919-го. </w:t>
      </w:r>
    </w:p>
    <w:p w14:paraId="0000001B" w14:textId="77777777" w:rsidR="00A8643E" w:rsidRDefault="00996839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Проголошення Соборності 22 січня 1919 року, коли Українська Народна Республіка та Західноукраїнська Народна Республіка об’єдналися в соборну державу, увінчало прагнення до єднання українців, розділених кордонами тогочасних імперій. Ця подія повністю руйнує твердження російської пропаганди, буцімто українські землі вперше об’єднав Сталін у 1939 році.</w:t>
      </w:r>
    </w:p>
    <w:p w14:paraId="0000001C" w14:textId="77777777" w:rsidR="00A8643E" w:rsidRDefault="00996839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Упродовж багатьох десятиліть Акт злуки залишався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ідейним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імперативом боротьби за незалежну, соборну державу. Після проголошення об’єднання УНР і ЗУНР 22 січня 1919 року питання єдності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українськоі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̈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українськіи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політичніи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думці вже ніколи не ставилося під сумнів. </w:t>
      </w:r>
    </w:p>
    <w:p w14:paraId="0000001D" w14:textId="77777777" w:rsidR="00A8643E" w:rsidRDefault="009968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початку ХХ століття українці об’єдналися після падіння імперій. </w:t>
      </w:r>
    </w:p>
    <w:p w14:paraId="0000001E" w14:textId="77777777" w:rsidR="00A8643E" w:rsidRDefault="009968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Нині Україна продовжує боротьбу за незалежність і соборність. Тому соборність залишається на порядку денному національних завдань. Цілісність буде цілковито відновлена після того, як Україна звільнить усі території, захоплені ворогом.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Соборність – мета Перемоги.</w:t>
      </w:r>
    </w:p>
    <w:p w14:paraId="0000001F" w14:textId="77777777" w:rsidR="00A8643E" w:rsidRDefault="00996839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Радянська та російська пропаганда протиставляла українські регіони, нав’язувала уявлення про різні “сорти” українців. Проте в сучасному спротиві російській агресії ми довели свою згуртованість і спільне прагнення жити у вільній державі, яка сама визначає майбутнє. </w:t>
      </w:r>
    </w:p>
    <w:p w14:paraId="00000020" w14:textId="77777777" w:rsidR="00A8643E" w:rsidRDefault="00996839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Соборність передбачає не лише пам’ять про спільне минуле, а й потребує згуртованої співпраці заради майбутнього, як на полі бою, так і в тилу. Коли ми, з різних регіонів, разом працюємо, боремося з окупантами, створюємо знакове і важливе, адже ціль у нас спільна: незалежна, демократична і соборна Україна. Єднаймося!</w:t>
      </w:r>
    </w:p>
    <w:p w14:paraId="00000021" w14:textId="77777777" w:rsidR="00A8643E" w:rsidRDefault="00A8643E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A8643E" w:rsidRDefault="00996839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Історична довідка</w:t>
      </w:r>
    </w:p>
    <w:p w14:paraId="00000023" w14:textId="77777777" w:rsidR="00A8643E" w:rsidRDefault="00996839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Український історичний календар 22 січня містить дві знаменні події: проголошення 1918 року IV Універсалом Української Центральної Ради незалежності Української Народної Республіки та рівно за рік –  Універсалом Директорії Української Народної Республіки –  об’єднання УНР і ЗУНР в єдину суверенну державу. </w:t>
      </w:r>
    </w:p>
    <w:p w14:paraId="00000024" w14:textId="77777777" w:rsidR="00A8643E" w:rsidRDefault="00996839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Ці події є надзвичайно важливими в історії Української революції 1917–1921 років і загалом історії України XX століття. IV Універсал Української Центральної Ради став логічним етапом складного розвитку українського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визвольного руху доби революції. Розпочавшись у березні 1917-го, він за один рік пройшов еволюцію від культурницьких вимог, ідей політичної автономії та федерації і зрештою до усвідомлення необхідності власної незалежної держави. Водночас, на проголошення незалежності значний вплив справили зовнішні обставини –  збройна агресія більшовицької Росії, а також переговори в Бересті про мирний договір УНР з країнами Четверного союзу.</w:t>
      </w:r>
    </w:p>
    <w:p w14:paraId="00000025" w14:textId="77777777" w:rsidR="00A8643E" w:rsidRDefault="00996839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“Раз армії нема, а треба боронити Україну, то єдиний вихід –  проголошення незалежності України, що дасть можливість стати твердо на міжнародній арені і приступити до організації нової фізичної сили”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–  відзначав під час засідання українського уряду 26 грудня 1917 року «соціаліст-революціонер» Микита Шаповал. Текст IV Універсалу датований 9 (22) січня 1918 року. Ухвалили його пізно вночі 11 (24) січня 1918 року на засіданні Малої Ради. </w:t>
      </w:r>
    </w:p>
    <w:p w14:paraId="00000026" w14:textId="77777777" w:rsidR="00A8643E" w:rsidRDefault="00996839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 містив чотири головні напрями: проголошення самостійності Української Народної Республіки; доручення Раді Народних Міністрів укласти мир з Центральними державами; оповіщення оборонної війни з більшовицькою Росією; декларування основ внутрішнього соціально-економічного будівництва й окреслення заходів для припинення війни з Центральними державами. </w:t>
      </w:r>
    </w:p>
    <w:p w14:paraId="00000027" w14:textId="77777777" w:rsidR="00A8643E" w:rsidRDefault="00996839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Уперше в XX столітті Україна проголошувалася незалежною суверенною державою.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Революційні події на Наддніпрянській Україні, проголошення української державності сприяли піднесенню національного руху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підавстрійській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Галичині. В умовах розпаду Австро-Угорщини тамтешні українці отримали можливість реалізувати право на самовизначення. </w:t>
      </w:r>
    </w:p>
    <w:p w14:paraId="00000028" w14:textId="77777777" w:rsidR="00A8643E" w:rsidRDefault="00996839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листопада 1918 року у Львові відбувся Листопадовий чин, унаслідок якого згодом було проголошено Західноукраїнську Народну Республіку. Її лідери ініціювали переговори про об’єднання Наддніпрянської України з Наддністрянською. На зустріч із гетьманом Павлом Скоропадським у Київ вирушила галицька делегація (до складу якої входили Осип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Назарук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Володимир Шухевич). Гетьман обіцяв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відреагувати на прохання: надати ЗУНР зброю, продовольчу і фінансову допомогу, спрямувати в Галичину загін Січових стрільців Євгена Коновальця, який мав допомогти у боротьбі з поляками. </w:t>
      </w:r>
    </w:p>
    <w:p w14:paraId="00000029" w14:textId="77777777" w:rsidR="00A8643E" w:rsidRDefault="00996839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Утім, у цей час владу в Україні перебрала Директорія і переговори про об’єднання продовжилися вже з її представниками. Тож 1 грудня 1918 року у Фастові представники УНР і ЗУНР підписали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Передвступний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договір між УНР і ЗУНР про злуку обох республік в одну державу. А вже 3 січня 1919 року Українська національна рада ЗУНР у Станіславові (нині –  Івано-Франківськ) ратифікувала цей договір і прийняла ухвалу про наступне об’єднання двох частин України в одну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державу. Для продовження переговорів з урядом УНР сформували делегацію із 65 осіб, яку очолив Лев Бачинський. </w:t>
      </w:r>
    </w:p>
    <w:p w14:paraId="0000002A" w14:textId="77777777" w:rsidR="00A8643E" w:rsidRDefault="00996839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 січня 1919 року, в першу річницю проголошення незалежності УНР, в Києві на Софійській площі відбулися урочисті збори. На них проголосили Універсал Директорії Української Народної Республіки про злуку із Західноукраїнською Народною Республікою. У зачитаному на зборах “Універсалі соборності”, зокрема, відзначалося: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“Однині воєдино зливаються століттями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одірвані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одна від одної частини єдиної України – Західноукраїнська Народна Республіка (Галичина, Буковина, Угорська Русь) і Наддніпрянська Велика Україна. Здійснились віковічні мрії, якими жили і за які умирали кращі сини України. Однині є єдина незалежна Українська Народна Республіка”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Наступного дня, 23 січня 1919 року, в приміщенні київського Оперного театру (сучасна Національна опера України) Трудовий Конгрес України ратифікував документ, надавши йому законного юридичного характеру. Президента УНРади Євгена Петрушевича незабаром обрали до складу Директорії. ЗУНР після об’єднання з УНР змінила назву на Західна область Української Народної Республіки (ЗО УНР). Розпочалася активна співпраця між обома державними утвореннями в економічній, військовій та культурних сферах. </w:t>
      </w:r>
    </w:p>
    <w:p w14:paraId="0000002B" w14:textId="77777777" w:rsidR="00A8643E" w:rsidRDefault="00996839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Ідея соборності охопила українців у найвіддаленіших куточках їх проживання. Відголоском історичного руху до Злуки на Закарпатті стали Всенародні збори у Хусті 21 січня 1919 року, які постановили об’єднати Карпатську Україну з Українською Народною Республікою зі столицею в Києві. В умовах перманентної боротьби за свободу і незалежність надзвичайно багато важило братерство по зброї українців із різних регіонів. </w:t>
      </w:r>
    </w:p>
    <w:p w14:paraId="0000002C" w14:textId="77777777" w:rsidR="00A8643E" w:rsidRDefault="00996839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Апогеєм співпраці та консолідації зусиль став спільний похід українських армій на Київ у серпні 1919 року. Однак через низку причин об’єднання УНР і ЗУНР в одну державу не було доведене до завершення. Продовжували існувати два окремі уряди, дві армії. Республіки фактично перебували у конфедеративних відносинах. Відмінні геополітичні інтереси та цілі, зрештою, призвели до розвалу соборного фронту Української революції пізньої осені 1919 року. Тим не менше, Акт Злуки став символом і легендою для наступних поколінь борців за Україну. </w:t>
      </w:r>
    </w:p>
    <w:p w14:paraId="0000002D" w14:textId="77777777" w:rsidR="00A8643E" w:rsidRDefault="00996839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Після проголошення об’єднання УНР і ЗУНР 22 січня 1919 року ідея цілісності української нації в українській політичній думці вже ніколи не ставилася під сумнів. Упродовж багатьох десятиліть Акт залишався символом віри, ідейним імперативом боротьби за незалежну, соборну державу.</w:t>
      </w:r>
    </w:p>
    <w:p w14:paraId="0000002E" w14:textId="77777777" w:rsidR="00A8643E" w:rsidRDefault="00A8643E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520CE5" w14:textId="77777777" w:rsidR="004526BF" w:rsidRDefault="00996839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F" w14:textId="2742B622" w:rsidR="00A8643E" w:rsidRDefault="00996839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Цитати про Соборність</w:t>
      </w:r>
    </w:p>
    <w:p w14:paraId="00000030" w14:textId="77777777" w:rsidR="00A8643E" w:rsidRDefault="0099683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“Ми мусимо навчитися чути себе українцями – не галицькими, не буковинськими українцями, а українцями без офіціальних кордонів”. </w:t>
      </w:r>
    </w:p>
    <w:p w14:paraId="00000031" w14:textId="77777777" w:rsidR="00A8643E" w:rsidRDefault="00996839">
      <w:pPr>
        <w:ind w:firstLine="8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Іван Франко.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Одвертий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 до галицької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молодежі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”, 1905 рік</w:t>
      </w:r>
    </w:p>
    <w:p w14:paraId="00000032" w14:textId="77777777" w:rsidR="00A8643E" w:rsidRDefault="0099683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“Не чіпатися того, що ділить і роз’єднує поодинокі частини української землі, а пильнувати того, що лучить і єднає їх до купи, і се зміцнювати і розвивати мусимо… Єднатися, концентруватися, а не ділитися, не розбігатися – се повинно бути у всім нашим гаслом”. </w:t>
      </w:r>
    </w:p>
    <w:p w14:paraId="00000033" w14:textId="77777777" w:rsidR="00A8643E" w:rsidRDefault="00996839">
      <w:pPr>
        <w:shd w:val="clear" w:color="auto" w:fill="FFFFFF"/>
        <w:ind w:left="3690" w:right="-6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Михайло Грушевський. </w:t>
      </w:r>
    </w:p>
    <w:p w14:paraId="00000034" w14:textId="77777777" w:rsidR="00A8643E" w:rsidRDefault="00996839">
      <w:pPr>
        <w:shd w:val="clear" w:color="auto" w:fill="FFFFFF"/>
        <w:ind w:left="3259" w:right="-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“Про українську мову й українську справу”,  1907 рік.</w:t>
      </w:r>
    </w:p>
    <w:p w14:paraId="00000035" w14:textId="77777777" w:rsidR="00A8643E" w:rsidRDefault="00A8643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36" w14:textId="77777777" w:rsidR="00A8643E" w:rsidRDefault="009968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“Українська національна думка мусить обнімати всіх українців, де б вони не проживали, на всій Україні, без огляду на державні кордони… Коли в кожному з нас до решти загине полтавський, галицький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провінціал, а в цілому зродиться та зросте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Всеукраїнець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якого думи і змагання обнімають усю Україну зарівно і неподільно, як нерозлучну і єдину цілість”.</w:t>
      </w:r>
    </w:p>
    <w:p w14:paraId="00000037" w14:textId="77777777" w:rsidR="00A8643E" w:rsidRDefault="0099683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Микола Міхновський. “З закордонної України”</w:t>
      </w:r>
    </w:p>
    <w:p w14:paraId="00000038" w14:textId="77777777" w:rsidR="00A8643E" w:rsidRDefault="00A8643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39" w14:textId="77777777" w:rsidR="00A8643E" w:rsidRDefault="009968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“Ясно, як на долоні, що Рідна Хата не повстане, якщо не буде українського моноліту, коли українці-самостійники не зможуть, обходячи всі різниці, які їх ділять, завести між собою якнайбільшу єдність. Тієї єдності Україні треба, а та потреба накладає на нас усіх обов’язок, і від сповнення того обов’язку залежить майбутнє Батьківщини”. </w:t>
      </w:r>
    </w:p>
    <w:p w14:paraId="0000003A" w14:textId="6EAC3D28" w:rsidR="00A8643E" w:rsidRDefault="0099683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Митрополит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Андрей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Шептицкий</w:t>
      </w:r>
      <w:proofErr w:type="spellEnd"/>
      <w:r w:rsidR="004526B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1941 рік</w:t>
      </w:r>
    </w:p>
    <w:p w14:paraId="0000003B" w14:textId="77777777" w:rsidR="00A8643E" w:rsidRDefault="00A8643E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C" w14:textId="77777777" w:rsidR="00A8643E" w:rsidRDefault="0099683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“Перейдемо від фраз про Соборність до здійснювання цієї великої Ідеї в буденному житті”.</w:t>
      </w:r>
    </w:p>
    <w:p w14:paraId="0000003D" w14:textId="77777777" w:rsidR="00A8643E" w:rsidRDefault="00A8643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3E" w14:textId="77777777" w:rsidR="00A8643E" w:rsidRDefault="0099683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“Хай слово «Соборність» не буде тільки книжковою фразою, але щоденним хлібом та правдивою Ідеєю наших буднів!”</w:t>
      </w:r>
    </w:p>
    <w:p w14:paraId="0000003F" w14:textId="77777777" w:rsidR="00A8643E" w:rsidRDefault="00996839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Михайло Дяченко (Марко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Боєслав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). “За соборний моноліт”, 1950 рік</w:t>
      </w:r>
    </w:p>
    <w:p w14:paraId="00000040" w14:textId="77777777" w:rsidR="00A8643E" w:rsidRDefault="00A8643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1" w14:textId="77777777" w:rsidR="00A8643E" w:rsidRDefault="009968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“Сучасні події нинішньої російської агресії лише підсилюють значимість 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злуки УНР і ЗУНР, який відбувся … на площі біля стародавньої Софії Київської. Бо знову Україну хочуть “пошматувати” та розділити, силою забравши її землі, встановивши штучні кордони й сірі зони, посваривши наш народ, пропагандою ввівши в оману. Тому для нас свято Соборності є дуже важливим, бо воно нагадує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 найголовніший урок нашої спільної історії: в єдності – сила, в розділенні – поразка”.</w:t>
      </w:r>
    </w:p>
    <w:p w14:paraId="00000042" w14:textId="77777777" w:rsidR="00A8643E" w:rsidRDefault="00996839">
      <w:pPr>
        <w:pBdr>
          <w:top w:val="nil"/>
          <w:left w:val="nil"/>
          <w:bottom w:val="nil"/>
          <w:right w:val="nil"/>
          <w:between w:val="nil"/>
        </w:pBdr>
        <w:ind w:firstLine="85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Епіфаній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Предстоятель Православної церкви України, </w:t>
      </w:r>
    </w:p>
    <w:p w14:paraId="00000043" w14:textId="77777777" w:rsidR="00A8643E" w:rsidRDefault="00996839">
      <w:pPr>
        <w:pBdr>
          <w:top w:val="nil"/>
          <w:left w:val="nil"/>
          <w:bottom w:val="nil"/>
          <w:right w:val="nil"/>
          <w:between w:val="nil"/>
        </w:pBdr>
        <w:ind w:firstLine="8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митрополит Київський і всієї України, 2022 рік</w:t>
      </w:r>
    </w:p>
    <w:p w14:paraId="00000044" w14:textId="77777777" w:rsidR="00A8643E" w:rsidRDefault="00A8643E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5" w14:textId="77777777" w:rsidR="00A8643E" w:rsidRDefault="00996839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“Зараз ідея соборності є чимось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життєво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необхідним для українського народу, оскільки соборність – це означає дбати про те, що об’єднує. Навіть більше, це означає ставити за найвищу цінність усе те, що може нас об’єднувати, надихати і робити сильнішими, бо разом нас не подолати”.</w:t>
      </w:r>
    </w:p>
    <w:p w14:paraId="00000046" w14:textId="77777777" w:rsidR="00A8643E" w:rsidRDefault="00996839">
      <w:pPr>
        <w:pBdr>
          <w:top w:val="nil"/>
          <w:left w:val="nil"/>
          <w:bottom w:val="nil"/>
          <w:right w:val="nil"/>
          <w:between w:val="nil"/>
        </w:pBdr>
        <w:ind w:firstLine="85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Блаженніший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Святослав, </w:t>
      </w:r>
    </w:p>
    <w:p w14:paraId="00000047" w14:textId="77777777" w:rsidR="00A8643E" w:rsidRDefault="00996839">
      <w:pPr>
        <w:pBdr>
          <w:top w:val="nil"/>
          <w:left w:val="nil"/>
          <w:bottom w:val="nil"/>
          <w:right w:val="nil"/>
          <w:between w:val="nil"/>
        </w:pBdr>
        <w:ind w:firstLine="8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Української греко-католицької церкви, 2022 рік</w:t>
      </w:r>
    </w:p>
    <w:p w14:paraId="00000048" w14:textId="77777777" w:rsidR="00A8643E" w:rsidRDefault="00A8643E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9" w14:textId="77777777" w:rsidR="00A8643E" w:rsidRDefault="00996839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Тематичні матеріали Українського інституту національної пам'яті</w:t>
      </w:r>
    </w:p>
    <w:p w14:paraId="0000004A" w14:textId="77777777" w:rsidR="00A8643E" w:rsidRDefault="00996839">
      <w:pPr>
        <w:shd w:val="clear" w:color="auto" w:fill="FFFFFF"/>
        <w:ind w:firstLine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Інтернет-банери до Дня Соборності: </w:t>
      </w:r>
      <w:hyperlink r:id="rId6" w:anchor="tS4BkMEP5zy6YCJNz5wJpw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https://mega.nz/folder/RwwWHCBB#tS4BkMEP5zy6YCJNz5wJpw</w:t>
        </w:r>
      </w:hyperlink>
    </w:p>
    <w:p w14:paraId="0000004B" w14:textId="77777777" w:rsidR="00A8643E" w:rsidRDefault="00996839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Відеоролик «Разом з власної волі з 1919 році»: </w:t>
      </w:r>
      <w:hyperlink r:id="rId7" w:anchor="w1qzRCHl4eT0BC5_45SYBQ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https://mega.</w:t>
        </w:r>
      </w:hyperlink>
      <w:r>
        <w:fldChar w:fldCharType="begin"/>
      </w:r>
      <w:r>
        <w:instrText xml:space="preserve"> HYPERLINK "https://mega.nz/folder/pwQ0kZJa#w1qzRCHl4eT0BC5_45SYBQ" </w:instrText>
      </w:r>
      <w:r>
        <w:fldChar w:fldCharType="separate"/>
      </w:r>
    </w:p>
    <w:p w14:paraId="0000004C" w14:textId="77777777" w:rsidR="00A8643E" w:rsidRDefault="00996839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hyperlink r:id="rId8" w:anchor="w1qzRCHl4eT0BC5_45SYBQ"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nz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folder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/pwQ0kZJa#w1qzRCHl4eT0BC5_45SYBQ</w:t>
        </w:r>
      </w:hyperlink>
    </w:p>
    <w:p w14:paraId="0000004D" w14:textId="77777777" w:rsidR="00A8643E" w:rsidRDefault="00996839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Методичні рекомендації для загальноосвітніх навчальних закладів до Дня Соборності України-2020:</w:t>
      </w:r>
    </w:p>
    <w:p w14:paraId="0000004E" w14:textId="77777777" w:rsidR="00A8643E" w:rsidRDefault="00000000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 w:rsidR="00996839">
          <w:rPr>
            <w:rFonts w:ascii="Times New Roman" w:eastAsia="Times New Roman" w:hAnsi="Times New Roman" w:cs="Times New Roman"/>
            <w:sz w:val="28"/>
            <w:szCs w:val="28"/>
          </w:rPr>
          <w:t>https://uinp.gov.ua/informaciyni-materialy/vchytelyam/metodychni-rekomendaciyi/metodychni-rekomendaciyi-dlya-zagalnoosvitnih-navchalnyh-zakladiv-do-dnya-sobornosti-ukrayiny-2020</w:t>
        </w:r>
      </w:hyperlink>
    </w:p>
    <w:p w14:paraId="0000004F" w14:textId="77777777" w:rsidR="00A8643E" w:rsidRDefault="00996839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Інформаційні матеріали до 100-річчя проголошення незалежності Української Народної Республіки: </w:t>
      </w:r>
    </w:p>
    <w:p w14:paraId="00000050" w14:textId="77777777" w:rsidR="00A8643E" w:rsidRDefault="00000000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 w:rsidR="00996839">
          <w:rPr>
            <w:rFonts w:ascii="Times New Roman" w:eastAsia="Times New Roman" w:hAnsi="Times New Roman" w:cs="Times New Roman"/>
            <w:sz w:val="28"/>
            <w:szCs w:val="28"/>
          </w:rPr>
          <w:t>http://unr.uinp.gov.ua/metodichni-materiali/metodichni-materiali/informatsiyni-materiali-do-100-richchya-progoloshennya-nezalezhnosti-ukrainskoi-narodnoi-respubliki-2018-rik</w:t>
        </w:r>
      </w:hyperlink>
    </w:p>
    <w:p w14:paraId="00000051" w14:textId="77777777" w:rsidR="00A8643E" w:rsidRDefault="00996839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Настільна гра “Українська революція 1917–1921”:</w:t>
      </w:r>
    </w:p>
    <w:p w14:paraId="00000052" w14:textId="77777777" w:rsidR="00A8643E" w:rsidRDefault="00000000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 w:rsidR="00996839">
          <w:rPr>
            <w:rFonts w:ascii="Times New Roman" w:eastAsia="Times New Roman" w:hAnsi="Times New Roman" w:cs="Times New Roman"/>
            <w:sz w:val="28"/>
            <w:szCs w:val="28"/>
          </w:rPr>
          <w:t>https://uinp.gov.ua/informaciyni-materialy/vchytelyam/navchalni-igry/nastilna-gra-ukrayinska-revolyuciya-1917-1921</w:t>
        </w:r>
      </w:hyperlink>
    </w:p>
    <w:p w14:paraId="00000053" w14:textId="77777777" w:rsidR="00A8643E" w:rsidRDefault="00996839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Карткова гра “100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Української революції”:</w:t>
      </w:r>
    </w:p>
    <w:p w14:paraId="00000054" w14:textId="77777777" w:rsidR="00A8643E" w:rsidRDefault="00000000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 w:rsidR="00996839">
          <w:rPr>
            <w:rFonts w:ascii="Times New Roman" w:eastAsia="Times New Roman" w:hAnsi="Times New Roman" w:cs="Times New Roman"/>
            <w:sz w:val="28"/>
            <w:szCs w:val="28"/>
          </w:rPr>
          <w:t>https://uinp.gov.ua/informaciyni-materialy/vchytelyam/navchalni-igry/kartkova-gra-100-oblych-ukrayinskoyi-revolyuciyi</w:t>
        </w:r>
      </w:hyperlink>
    </w:p>
    <w:p w14:paraId="00000055" w14:textId="77777777" w:rsidR="00A8643E" w:rsidRDefault="00996839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Відеоісторія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“Українська революція 1917–1921. Як творилася держава”:</w:t>
      </w:r>
    </w:p>
    <w:p w14:paraId="00000056" w14:textId="77777777" w:rsidR="00A8643E" w:rsidRDefault="00000000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>
        <w:r w:rsidR="00996839">
          <w:rPr>
            <w:rFonts w:ascii="Times New Roman" w:eastAsia="Times New Roman" w:hAnsi="Times New Roman" w:cs="Times New Roman"/>
            <w:sz w:val="28"/>
            <w:szCs w:val="28"/>
          </w:rPr>
          <w:t>https://uinp.gov.ua/informaciyni-materialy/vchytelyam/videolekciyi/cykl-vchymo-istoriyu/ukrayinska-revolyuciya-1917-21-rokiv-yak-tvorylasya-derzhava</w:t>
        </w:r>
      </w:hyperlink>
    </w:p>
    <w:p w14:paraId="00000057" w14:textId="77777777" w:rsidR="00A8643E" w:rsidRDefault="00996839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Аудіо-альбом “Пісні Української революції”:</w:t>
      </w:r>
    </w:p>
    <w:p w14:paraId="00000058" w14:textId="77777777" w:rsidR="00A8643E" w:rsidRDefault="00000000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>
        <w:r w:rsidR="00996839">
          <w:rPr>
            <w:rFonts w:ascii="Times New Roman" w:eastAsia="Times New Roman" w:hAnsi="Times New Roman" w:cs="Times New Roman"/>
            <w:sz w:val="28"/>
            <w:szCs w:val="28"/>
          </w:rPr>
          <w:t>https://uinp.gov.ua/elektronni-vydannya/audioalbom-pisni-ukrayinskoyi-revolyuciyi1</w:t>
        </w:r>
      </w:hyperlink>
    </w:p>
    <w:p w14:paraId="00000059" w14:textId="77777777" w:rsidR="00A8643E" w:rsidRDefault="00996839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Виставка “100 років боротьби: Українська революція 1917–1921”:</w:t>
      </w:r>
    </w:p>
    <w:p w14:paraId="0000005A" w14:textId="77777777" w:rsidR="00A8643E" w:rsidRDefault="00996839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https://uinp.gov.ua/vystavkovi-proekty/vystavka-100-rokiv-borotby-ukrayinska-revolyuciya-1917-1921</w:t>
      </w:r>
    </w:p>
    <w:p w14:paraId="0000005B" w14:textId="77777777" w:rsidR="00A8643E" w:rsidRDefault="00996839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Виставка “Українська революція 1917-1921: регіональний вимір”:</w:t>
      </w:r>
    </w:p>
    <w:p w14:paraId="0000005C" w14:textId="77777777" w:rsidR="00A8643E" w:rsidRDefault="00000000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>
        <w:r w:rsidR="0099683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https://uinp.gov.ua/vystavkovi-proekty/vyskavka-ukrayinska-revolyuciya-1917-1921-regionalnyy-vymir</w:t>
        </w:r>
      </w:hyperlink>
    </w:p>
    <w:p w14:paraId="0000005D" w14:textId="77777777" w:rsidR="00A8643E" w:rsidRDefault="00996839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Виставка “Донбас: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переPROчитання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образу”:</w:t>
      </w:r>
    </w:p>
    <w:p w14:paraId="0000005E" w14:textId="77777777" w:rsidR="00A8643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>
        <w:r w:rsidR="0099683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https://uinp.gov.ua/vystavkovi-proekty/nazva-vystavky</w:t>
        </w:r>
      </w:hyperlink>
    </w:p>
    <w:p w14:paraId="0000005F" w14:textId="77777777" w:rsidR="00A8643E" w:rsidRDefault="00996839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Виставка “Подорож невідомим Кримом”:</w:t>
      </w:r>
    </w:p>
    <w:p w14:paraId="00000060" w14:textId="77777777" w:rsidR="00A8643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>
        <w:r w:rsidR="0099683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https://uinp.gov.ua/vystavkovi-proekty/vystavka-podorozh-nevidomym-krymom</w:t>
        </w:r>
      </w:hyperlink>
    </w:p>
    <w:p w14:paraId="00000061" w14:textId="77777777" w:rsidR="00A8643E" w:rsidRDefault="00996839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b/>
          <w:color w:val="333333"/>
          <w:sz w:val="39"/>
          <w:szCs w:val="39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Видання “Наш Крим. Неросійські історії українського півострова”: </w:t>
      </w:r>
      <w:hyperlink r:id="rId1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https://uinp.gov.ua/elektronni-vydannya/nash-krym-nerosiyski-istoriyi-ukrayinskogo-pivostrova</w:t>
        </w:r>
      </w:hyperlink>
    </w:p>
    <w:p w14:paraId="00000062" w14:textId="77777777" w:rsidR="00A8643E" w:rsidRDefault="00A864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3" w14:textId="77777777" w:rsidR="00A8643E" w:rsidRDefault="00A8643E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4" w14:textId="77777777" w:rsidR="00A8643E" w:rsidRDefault="00A8643E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5" w14:textId="77777777" w:rsidR="00A8643E" w:rsidRDefault="00A864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8643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0" w:right="848" w:bottom="1958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F6B1" w14:textId="77777777" w:rsidR="00657367" w:rsidRDefault="00657367" w:rsidP="00AB7D0D">
      <w:pPr>
        <w:spacing w:line="240" w:lineRule="auto"/>
      </w:pPr>
      <w:r>
        <w:separator/>
      </w:r>
    </w:p>
  </w:endnote>
  <w:endnote w:type="continuationSeparator" w:id="0">
    <w:p w14:paraId="186E2D6C" w14:textId="77777777" w:rsidR="00657367" w:rsidRDefault="00657367" w:rsidP="00AB7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C50B" w14:textId="77777777" w:rsidR="00AB7D0D" w:rsidRDefault="00AB7D0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1704" w14:textId="77777777" w:rsidR="00AB7D0D" w:rsidRDefault="00AB7D0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7A86" w14:textId="77777777" w:rsidR="00AB7D0D" w:rsidRDefault="00AB7D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C32D2" w14:textId="77777777" w:rsidR="00657367" w:rsidRDefault="00657367" w:rsidP="00AB7D0D">
      <w:pPr>
        <w:spacing w:line="240" w:lineRule="auto"/>
      </w:pPr>
      <w:r>
        <w:separator/>
      </w:r>
    </w:p>
  </w:footnote>
  <w:footnote w:type="continuationSeparator" w:id="0">
    <w:p w14:paraId="1E3A9FF5" w14:textId="77777777" w:rsidR="00657367" w:rsidRDefault="00657367" w:rsidP="00AB7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B83D" w14:textId="77777777" w:rsidR="00AB7D0D" w:rsidRDefault="00AB7D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E59B" w14:textId="77777777" w:rsidR="00AB7D0D" w:rsidRDefault="00AB7D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EE6C" w14:textId="77777777" w:rsidR="00AB7D0D" w:rsidRDefault="00AB7D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43E"/>
    <w:rsid w:val="004526BF"/>
    <w:rsid w:val="00657367"/>
    <w:rsid w:val="00996839"/>
    <w:rsid w:val="00A8643E"/>
    <w:rsid w:val="00AB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332DF"/>
  <w15:docId w15:val="{D16DE1F6-62F9-4C30-9C22-41065705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AB7D0D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D0D"/>
  </w:style>
  <w:style w:type="paragraph" w:styleId="a7">
    <w:name w:val="footer"/>
    <w:basedOn w:val="a"/>
    <w:link w:val="a8"/>
    <w:uiPriority w:val="99"/>
    <w:unhideWhenUsed/>
    <w:rsid w:val="00AB7D0D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.nz/folder/pwQ0kZJa" TargetMode="External"/><Relationship Id="rId13" Type="http://schemas.openxmlformats.org/officeDocument/2006/relationships/hyperlink" Target="https://uinp.gov.ua/informaciyni-materialy/vchytelyam/videolekciyi/cykl-vchymo-istoriyu/ukrayinska-revolyuciya-1917-21-rokiv-yak-tvorylasya-derzhava" TargetMode="External"/><Relationship Id="rId18" Type="http://schemas.openxmlformats.org/officeDocument/2006/relationships/hyperlink" Target="https://uinp.gov.ua/elektronni-vydannya/nash-krym-nerosiyski-istoriyi-ukrayinskogo-pivostrov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mega.nz/folder/pwQ0kZJa" TargetMode="External"/><Relationship Id="rId12" Type="http://schemas.openxmlformats.org/officeDocument/2006/relationships/hyperlink" Target="https://uinp.gov.ua/informaciyni-materialy/vchytelyam/navchalni-igry/kartkova-gra-100-oblych-ukrayinskoyi-revolyuciyi" TargetMode="External"/><Relationship Id="rId17" Type="http://schemas.openxmlformats.org/officeDocument/2006/relationships/hyperlink" Target="https://uinp.gov.ua/vystavkovi-proekty/vystavka-podorozh-nevidomym-krym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inp.gov.ua/vystavkovi-proekty/nazva-vystavky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mega.nz/folder/RwwWHCBB" TargetMode="External"/><Relationship Id="rId11" Type="http://schemas.openxmlformats.org/officeDocument/2006/relationships/hyperlink" Target="https://uinp.gov.ua/informaciyni-materialy/vchytelyam/navchalni-igry/nastilna-gra-ukrayinska-revolyuciya-1917-1921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uinp.gov.ua/vystavkovi-proekty/vyskavka-ukrayinska-revolyuciya-1917-1921-regionalnyy-vymir" TargetMode="External"/><Relationship Id="rId23" Type="http://schemas.openxmlformats.org/officeDocument/2006/relationships/header" Target="header3.xml"/><Relationship Id="rId10" Type="http://schemas.openxmlformats.org/officeDocument/2006/relationships/hyperlink" Target="http://unr.uinp.gov.ua/metodichni-materiali/metodichni-materiali/informatsiyni-materiali-do-100-richchya-progoloshennya-nezalezhnosti-ukrainskoi-narodnoi-respubliki-2018-rik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inp.gov.ua/informaciyni-materialy/vchytelyam/metodychni-rekomendaciyi/metodychni-rekomendaciyi-dlya-zagalnoosvitnih-navchalnyh-zakladiv-do-dnya-sobornosti-ukrayiny-2020" TargetMode="External"/><Relationship Id="rId14" Type="http://schemas.openxmlformats.org/officeDocument/2006/relationships/hyperlink" Target="https://uinp.gov.ua/elektronni-vydannya/audioalbom-pisni-ukrayinskoyi-revolyuciyi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2277</Words>
  <Characters>12985</Characters>
  <Application>Microsoft Office Word</Application>
  <DocSecurity>0</DocSecurity>
  <Lines>108</Lines>
  <Paragraphs>30</Paragraphs>
  <ScaleCrop>false</ScaleCrop>
  <Company/>
  <LinksUpToDate>false</LinksUpToDate>
  <CharactersWithSpaces>15232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2024-01-15T13:10:00Z</dcterms:created>
  <dcterms:modified xsi:type="dcterms:W3CDTF">2024-01-15T13:11:00Z</dcterms:modified>
</cp:coreProperties>
</file>